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SUNDAY 10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superscript"/>
          <w:lang w:val="en-GB" w:eastAsia="en-US" w:bidi="ar-SA"/>
        </w:rPr>
        <w:t xml:space="preserve">th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 SEPTEMBER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Shipmates attended  two events even though they coincided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with the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 Biennial Parade in London.</w:t>
      </w: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The first was held at St Osmund’s Church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 Osmington and was attended by members of Portland, Dorchester and Weymouth Branches. This was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 to re-dedicate a WW1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Memorial Parchment, which had been discovered in the church tower.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The parchment is unusual as it lists not only those who lost their lives but everyone from Osmington who served in The Great War. </w:t>
      </w: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The names listed are from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Naval and Army units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                 </w:t>
      </w:r>
      <w:r>
        <w:rPr/>
        <w:drawing>
          <wp:inline>
            <wp:extent cx="1234420" cy="1649443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20" cy="164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     </w:t>
      </w: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For those who served in the Royal Navy their names are</w:t>
      </w: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  <w:t xml:space="preserve"> followed by the name of the ship on which they served.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 </w:t>
      </w:r>
    </w:p>
    <w:p>
      <w:pPr>
        <w:spacing w:before="0" w:after="0" w:line="276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</w:pP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  <w:r>
        <w:rPr/>
        <w:drawing>
          <wp:inline>
            <wp:extent cx="2034483" cy="1767343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83" cy="176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>
            <wp:extent cx="2739524" cy="174707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24" cy="17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The second service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attended by Portland Branch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members. took place at St Andrew’s Church, Portland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. This was to commemorate the 140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superscript"/>
          <w:lang w:val="en-GB" w:eastAsia="en-GB" w:bidi="ar-SA"/>
        </w:rPr>
        <w:t xml:space="preserve">th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 Anniversary of the loss of life following  a collision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between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 the “AVALANCHE”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 bound for New Zealand and the “FORREST” bound for Canada  off Portland Bill. 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So shocked were people in New Zealand that they launched an appeal for a Memorial to be erected on Portland. This raised £1000 and it was decided to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use the money to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build a church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.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A represent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ativ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e of the New Zealand High Commissioner also attended the service.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  <w:r>
        <w:rPr/>
        <w:drawing>
          <wp:inline>
            <wp:extent cx="2790825" cy="2754958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5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During the service one of the candles which had also been salvaged from the wreck of the “AVALANCHE” was lit.</w:t>
      </w:r>
    </w:p>
    <w:p>
      <w:pPr>
        <w:spacing w:before="0" w:after="200" w:line="276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</w:pPr>
    </w:p>
    <w:p>
      <w:pPr>
        <w:spacing w:before="0" w:after="200" w:line="276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</w:pPr>
    </w:p>
    <w:p>
      <w:pPr>
        <w:spacing w:before="0" w:after="200" w:line="276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                                                   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GB" w:bidi="ar-SA"/>
        </w:rPr>
        <w:t xml:space="preserve">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GB" w:eastAsia="en-US" w:bidi="ar-SA"/>
        </w:rPr>
      </w:pPr>
    </w:p>
    <w:sectPr>
      <w:type w:val="nextPage"/>
      <w:pgSz w:w="11906" w:h="16838"/>
      <w:pgMar w:top="1440" w:right="1440" w:bottom="1440" w:left="1440" w:header="708" w:footer="708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en-GB" w:eastAsia="en-US" w:bidi="ar-SA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